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Heading"/>
        <w:jc w:val="center"/>
        <w:rPr>
          <w:rFonts w:ascii="Avenir Heavy" w:cs="Avenir Heavy" w:hAnsi="Avenir Heavy" w:eastAsia="Avenir Heavy"/>
          <w:b w:val="0"/>
          <w:bCs w:val="0"/>
          <w:sz w:val="32"/>
          <w:szCs w:val="32"/>
        </w:rPr>
      </w:pPr>
      <w:r>
        <w:rPr>
          <w:rFonts w:ascii="Avenir Heavy" w:hAnsi="Avenir Heavy"/>
          <w:b w:val="0"/>
          <w:bCs w:val="0"/>
          <w:sz w:val="32"/>
          <w:szCs w:val="32"/>
          <w:rtl w:val="0"/>
          <w:lang w:val="en-US"/>
        </w:rPr>
        <w:t>Call for Proposals: Ecker Fellowship Grant Initiative</w:t>
      </w:r>
    </w:p>
    <w:p>
      <w:pPr>
        <w:pStyle w:val="Body"/>
        <w:jc w:val="center"/>
        <w:rPr>
          <w:sz w:val="22"/>
          <w:szCs w:val="22"/>
        </w:rPr>
      </w:pPr>
    </w:p>
    <w:p>
      <w:pPr>
        <w:pStyle w:val="Heading 2"/>
        <w:bidi w:val="0"/>
      </w:pPr>
      <w:r>
        <w:rPr>
          <w:rtl w:val="0"/>
        </w:rPr>
        <w:t>Overview</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The New England Foundation for Psychoanalysis is pleased to announce the Ecker Fellowship Grant Initiative, open to all current and past Ecker Fellows. This initiative extends the mission of the Ecker Fellows Program by supporting new projects that explore psychoanalytic ideas through creative, scholarly, or community-based work.</w:t>
      </w:r>
    </w:p>
    <w:p>
      <w:pPr>
        <w:pStyle w:val="Body"/>
        <w:rPr>
          <w:sz w:val="22"/>
          <w:szCs w:val="22"/>
        </w:rPr>
      </w:pPr>
    </w:p>
    <w:p>
      <w:pPr>
        <w:pStyle w:val="Heading 2"/>
        <w:bidi w:val="0"/>
      </w:pPr>
      <w:r>
        <w:rPr>
          <w:rtl w:val="0"/>
          <w:lang w:val="en-US"/>
        </w:rPr>
        <w:t>Purpose</w:t>
      </w:r>
    </w:p>
    <w:p>
      <w:pPr>
        <w:pStyle w:val="Body"/>
        <w:rPr>
          <w:sz w:val="18"/>
          <w:szCs w:val="18"/>
        </w:rPr>
      </w:pPr>
      <w:r>
        <w:rPr>
          <w:sz w:val="18"/>
          <w:szCs w:val="18"/>
          <w:rtl w:val="0"/>
          <w:lang w:val="en-US"/>
        </w:rPr>
        <w:t>These grants are intended to support work that continues or expands the interdisciplinary inquiry at the heart of the Ecker Fellows Program. Projects may include:</w:t>
      </w:r>
    </w:p>
    <w:p>
      <w:pPr>
        <w:pStyle w:val="Body"/>
        <w:rPr>
          <w:sz w:val="18"/>
          <w:szCs w:val="18"/>
        </w:rPr>
      </w:pPr>
    </w:p>
    <w:p>
      <w:pPr>
        <w:pStyle w:val="Body"/>
        <w:numPr>
          <w:ilvl w:val="0"/>
          <w:numId w:val="2"/>
        </w:numPr>
        <w:spacing w:line="288" w:lineRule="auto"/>
        <w:rPr>
          <w:sz w:val="18"/>
          <w:szCs w:val="18"/>
          <w:lang w:val="en-US"/>
        </w:rPr>
      </w:pPr>
      <w:r>
        <w:rPr>
          <w:sz w:val="18"/>
          <w:szCs w:val="18"/>
          <w:rtl w:val="0"/>
          <w:lang w:val="en-US"/>
        </w:rPr>
        <w:t xml:space="preserve">New creative works informed by psychoanalytic concepts </w:t>
      </w:r>
    </w:p>
    <w:p>
      <w:pPr>
        <w:pStyle w:val="Body"/>
        <w:numPr>
          <w:ilvl w:val="0"/>
          <w:numId w:val="2"/>
        </w:numPr>
        <w:spacing w:line="288" w:lineRule="auto"/>
        <w:rPr>
          <w:sz w:val="18"/>
          <w:szCs w:val="18"/>
          <w:lang w:val="en-US"/>
        </w:rPr>
      </w:pPr>
      <w:r>
        <w:rPr>
          <w:sz w:val="18"/>
          <w:szCs w:val="18"/>
          <w:rtl w:val="0"/>
          <w:lang w:val="en-US"/>
        </w:rPr>
        <w:t xml:space="preserve">Research or writing that bridges psychoanalysis and the arts </w:t>
      </w:r>
    </w:p>
    <w:p>
      <w:pPr>
        <w:pStyle w:val="Body"/>
        <w:numPr>
          <w:ilvl w:val="0"/>
          <w:numId w:val="2"/>
        </w:numPr>
        <w:spacing w:line="288" w:lineRule="auto"/>
        <w:rPr>
          <w:sz w:val="18"/>
          <w:szCs w:val="18"/>
          <w:lang w:val="en-US"/>
        </w:rPr>
      </w:pPr>
      <w:r>
        <w:rPr>
          <w:sz w:val="18"/>
          <w:szCs w:val="18"/>
          <w:rtl w:val="0"/>
          <w:lang w:val="en-US"/>
        </w:rPr>
        <w:t xml:space="preserve">Educational or public programs that foster psychoanalytic dialogue in artistic communities </w:t>
      </w:r>
    </w:p>
    <w:p>
      <w:pPr>
        <w:pStyle w:val="Body"/>
        <w:numPr>
          <w:ilvl w:val="0"/>
          <w:numId w:val="2"/>
        </w:numPr>
        <w:spacing w:line="288" w:lineRule="auto"/>
        <w:rPr>
          <w:sz w:val="18"/>
          <w:szCs w:val="18"/>
          <w:lang w:val="en-US"/>
        </w:rPr>
      </w:pPr>
      <w:r>
        <w:rPr>
          <w:sz w:val="18"/>
          <w:szCs w:val="18"/>
          <w:rtl w:val="0"/>
          <w:lang w:val="en-US"/>
        </w:rPr>
        <w:t xml:space="preserve">Collaborative ventures that connect Fellows, psychoanalysts, and the public </w:t>
      </w:r>
    </w:p>
    <w:p>
      <w:pPr>
        <w:pStyle w:val="Body"/>
        <w:rPr>
          <w:sz w:val="22"/>
          <w:szCs w:val="22"/>
        </w:rPr>
      </w:pPr>
    </w:p>
    <w:p>
      <w:pPr>
        <w:pStyle w:val="Heading 2"/>
        <w:bidi w:val="0"/>
      </w:pPr>
      <w:r>
        <w:rPr>
          <w:rtl w:val="0"/>
          <w:lang w:val="en-US"/>
        </w:rPr>
        <w:t>Funding Awards</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 xml:space="preserve">Funding Awards will range from </w:t>
      </w:r>
      <w:r>
        <w:rPr>
          <w:rFonts w:ascii="Avenir Heavy" w:hAnsi="Avenir Heavy"/>
          <w:sz w:val="18"/>
          <w:szCs w:val="18"/>
          <w:rtl w:val="0"/>
          <w:lang w:val="en-US"/>
        </w:rPr>
        <w:t>$5,000 to $15,000</w:t>
      </w:r>
      <w:r>
        <w:rPr>
          <w:rFonts w:ascii="Avenir Book" w:hAnsi="Avenir Book"/>
          <w:sz w:val="18"/>
          <w:szCs w:val="18"/>
          <w:rtl w:val="0"/>
          <w:lang w:val="en-US"/>
        </w:rPr>
        <w:t>, depending on project scope and available resources. Funds may be used for research, travel, production, honoraria, materials, or other expenses directly related to the work.</w:t>
      </w:r>
    </w:p>
    <w:p>
      <w:pPr>
        <w:pStyle w:val="Body"/>
        <w:rPr>
          <w:sz w:val="18"/>
          <w:szCs w:val="18"/>
        </w:rPr>
      </w:pPr>
    </w:p>
    <w:p>
      <w:pPr>
        <w:pStyle w:val="Heading 2"/>
        <w:bidi w:val="0"/>
      </w:pPr>
      <w:r>
        <w:rPr>
          <w:rtl w:val="0"/>
          <w:lang w:val="fr-FR"/>
        </w:rPr>
        <w:t xml:space="preserve">Collaboration </w:t>
      </w:r>
      <w:r>
        <w:rPr>
          <w:rtl w:val="0"/>
          <w:lang w:val="en-US"/>
        </w:rPr>
        <w:t>B</w:t>
      </w:r>
      <w:r>
        <w:rPr>
          <w:rtl w:val="0"/>
          <w:lang w:val="en-US"/>
        </w:rPr>
        <w:t>etween the Ecker Fellows</w:t>
      </w:r>
    </w:p>
    <w:p>
      <w:pPr>
        <w:pStyle w:val="List Paragraph"/>
        <w:spacing w:after="40"/>
        <w:ind w:left="0" w:firstLine="0"/>
        <w:rPr>
          <w:rFonts w:ascii="Avenir Book" w:cs="Avenir Book" w:hAnsi="Avenir Book" w:eastAsia="Avenir Book"/>
          <w:sz w:val="18"/>
          <w:szCs w:val="18"/>
        </w:rPr>
      </w:pPr>
      <w:r>
        <w:rPr>
          <w:rFonts w:ascii="Avenir Heavy" w:hAnsi="Avenir Heavy"/>
          <w:sz w:val="18"/>
          <w:szCs w:val="18"/>
          <w:rtl w:val="0"/>
          <w:lang w:val="en-US"/>
        </w:rPr>
        <w:t>Collaborative projects by two or more Ecker Fellows will be prioritized.</w:t>
      </w:r>
      <w:r>
        <w:rPr>
          <w:rFonts w:ascii="Avenir Book" w:hAnsi="Avenir Book"/>
          <w:sz w:val="18"/>
          <w:szCs w:val="18"/>
          <w:rtl w:val="0"/>
          <w:lang w:val="en-US"/>
        </w:rPr>
        <w:t xml:space="preserve"> Proposals involving multiple Fellows</w:t>
      </w:r>
      <w:r>
        <w:rPr>
          <w:rFonts w:ascii="Avenir Book" w:hAnsi="Avenir Book" w:hint="default"/>
          <w:sz w:val="18"/>
          <w:szCs w:val="18"/>
          <w:rtl w:val="0"/>
          <w:lang w:val="en-US"/>
        </w:rPr>
        <w:t xml:space="preserve"> – </w:t>
      </w:r>
      <w:r>
        <w:rPr>
          <w:rFonts w:ascii="Avenir Book" w:hAnsi="Avenir Book"/>
          <w:sz w:val="18"/>
          <w:szCs w:val="18"/>
          <w:rtl w:val="0"/>
          <w:lang w:val="en-US"/>
        </w:rPr>
        <w:t>especially those that connect artistic and psychoanalytic communities</w:t>
      </w:r>
      <w:r>
        <w:rPr>
          <w:rFonts w:ascii="Avenir Book" w:hAnsi="Avenir Book" w:hint="default"/>
          <w:sz w:val="18"/>
          <w:szCs w:val="18"/>
          <w:rtl w:val="0"/>
          <w:lang w:val="en-US"/>
        </w:rPr>
        <w:t xml:space="preserve"> – </w:t>
      </w:r>
      <w:r>
        <w:rPr>
          <w:rFonts w:ascii="Avenir Book" w:hAnsi="Avenir Book"/>
          <w:sz w:val="18"/>
          <w:szCs w:val="18"/>
          <w:rtl w:val="0"/>
          <w:lang w:val="en-US"/>
        </w:rPr>
        <w:t xml:space="preserve">are strongly encouraged. Collaborative projects may qualify for higher grant amounts. </w:t>
      </w:r>
    </w:p>
    <w:p>
      <w:pPr>
        <w:pStyle w:val="List Paragraph"/>
        <w:spacing w:after="40"/>
        <w:ind w:left="0" w:firstLine="0"/>
        <w:rPr>
          <w:rFonts w:ascii="Avenir Book" w:cs="Avenir Book" w:hAnsi="Avenir Book" w:eastAsia="Avenir Book"/>
          <w:sz w:val="18"/>
          <w:szCs w:val="18"/>
        </w:rPr>
      </w:pPr>
    </w:p>
    <w:p>
      <w:pPr>
        <w:pStyle w:val="Heading 2"/>
        <w:bidi w:val="0"/>
      </w:pPr>
      <w:r>
        <w:rPr>
          <w:rtl w:val="0"/>
          <w:lang w:val="en-US"/>
        </w:rPr>
        <w:t>Eligibility</w:t>
      </w:r>
    </w:p>
    <w:p>
      <w:pPr>
        <w:pStyle w:val="List Paragraph"/>
        <w:spacing w:after="40"/>
        <w:ind w:left="0" w:firstLine="0"/>
        <w:rPr>
          <w:rFonts w:ascii="Avenir Book" w:cs="Avenir Book" w:hAnsi="Avenir Book" w:eastAsia="Avenir Book"/>
          <w:sz w:val="18"/>
          <w:szCs w:val="18"/>
        </w:rPr>
      </w:pPr>
      <w:r>
        <w:rPr>
          <w:rFonts w:ascii="Avenir Heavy" w:hAnsi="Avenir Heavy"/>
          <w:sz w:val="18"/>
          <w:szCs w:val="18"/>
          <w:rtl w:val="0"/>
          <w:lang w:val="en-US"/>
        </w:rPr>
        <w:t>All current and past Ecker Fellows are eligible to apply</w:t>
      </w:r>
      <w:r>
        <w:rPr>
          <w:rFonts w:ascii="Avenir Book" w:hAnsi="Avenir Book"/>
          <w:sz w:val="18"/>
          <w:szCs w:val="18"/>
          <w:rtl w:val="0"/>
          <w:lang w:val="en-US"/>
        </w:rPr>
        <w:t>, individually or collaboratively. Collaborative teams may include non-Fellow partners, provided at least one Ecker Fellow serves as project lead. Grants can only be given to 501c3 organizations, not to individuals.</w:t>
      </w:r>
    </w:p>
    <w:p>
      <w:pPr>
        <w:pStyle w:val="List Paragraph"/>
        <w:spacing w:after="40"/>
        <w:ind w:left="0" w:firstLine="0"/>
        <w:rPr>
          <w:rFonts w:ascii="Avenir Book" w:cs="Avenir Book" w:hAnsi="Avenir Book" w:eastAsia="Avenir Book"/>
          <w:sz w:val="18"/>
          <w:szCs w:val="18"/>
        </w:rPr>
      </w:pPr>
    </w:p>
    <w:p>
      <w:pPr>
        <w:pStyle w:val="Heading 2"/>
        <w:bidi w:val="0"/>
      </w:pPr>
      <w:r>
        <w:rPr>
          <w:rtl w:val="0"/>
          <w:lang w:val="en-US"/>
        </w:rPr>
        <w:t xml:space="preserve">Proposal Guidelines </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Applications should not exceed XXX pages (excluding CVs, budget, and references) and must include:</w:t>
      </w:r>
    </w:p>
    <w:p>
      <w:pPr>
        <w:pStyle w:val="List Paragraph"/>
        <w:spacing w:after="40"/>
        <w:ind w:left="0" w:firstLine="0"/>
        <w:rPr>
          <w:rFonts w:ascii="Avenir Book" w:cs="Avenir Book" w:hAnsi="Avenir Book" w:eastAsia="Avenir Book"/>
          <w:sz w:val="18"/>
          <w:szCs w:val="18"/>
        </w:rPr>
      </w:pPr>
    </w:p>
    <w:p>
      <w:pPr>
        <w:pStyle w:val="List Paragraph"/>
        <w:numPr>
          <w:ilvl w:val="0"/>
          <w:numId w:val="4"/>
        </w:numPr>
        <w:spacing w:after="40" w:line="288" w:lineRule="auto"/>
        <w:rPr>
          <w:rFonts w:ascii="Avenir Book" w:hAnsi="Avenir Book"/>
          <w:sz w:val="18"/>
          <w:szCs w:val="18"/>
          <w:lang w:val="en-US"/>
        </w:rPr>
      </w:pPr>
      <w:r>
        <w:rPr>
          <w:rFonts w:ascii="Avenir Heavy" w:hAnsi="Avenir Heavy"/>
          <w:sz w:val="18"/>
          <w:szCs w:val="18"/>
          <w:rtl w:val="0"/>
          <w:lang w:val="en-US"/>
        </w:rPr>
        <w:t>Project Title and Abstract</w:t>
      </w:r>
      <w:r>
        <w:rPr>
          <w:rFonts w:ascii="Avenir Book" w:hAnsi="Avenir Book"/>
          <w:sz w:val="18"/>
          <w:szCs w:val="18"/>
          <w:rtl w:val="0"/>
          <w:lang w:val="en-US"/>
        </w:rPr>
        <w:t xml:space="preserve"> (up to 200 words) </w:t>
      </w:r>
    </w:p>
    <w:p>
      <w:pPr>
        <w:pStyle w:val="List Paragraph"/>
        <w:numPr>
          <w:ilvl w:val="0"/>
          <w:numId w:val="4"/>
        </w:numPr>
        <w:spacing w:after="40" w:line="288" w:lineRule="auto"/>
        <w:rPr>
          <w:rFonts w:ascii="Avenir Book" w:hAnsi="Avenir Book"/>
          <w:sz w:val="18"/>
          <w:szCs w:val="18"/>
          <w:lang w:val="en-US"/>
        </w:rPr>
      </w:pPr>
      <w:r>
        <w:rPr>
          <w:rFonts w:ascii="Avenir Heavy" w:hAnsi="Avenir Heavy"/>
          <w:sz w:val="18"/>
          <w:szCs w:val="18"/>
          <w:rtl w:val="0"/>
          <w:lang w:val="en-US"/>
        </w:rPr>
        <w:t>Detailed Project Description:</w:t>
      </w:r>
      <w:r>
        <w:rPr>
          <w:rFonts w:ascii="Avenir Book" w:hAnsi="Avenir Book"/>
          <w:sz w:val="18"/>
          <w:szCs w:val="18"/>
          <w:rtl w:val="0"/>
          <w:lang w:val="en-US"/>
        </w:rPr>
        <w:t xml:space="preserve"> Goals, methods, and anticipated outcomes (1-2 pages).</w:t>
      </w:r>
    </w:p>
    <w:p>
      <w:pPr>
        <w:pStyle w:val="List Paragraph"/>
        <w:numPr>
          <w:ilvl w:val="0"/>
          <w:numId w:val="4"/>
        </w:numPr>
        <w:spacing w:after="40" w:line="288" w:lineRule="auto"/>
        <w:rPr>
          <w:rFonts w:ascii="Avenir Book" w:hAnsi="Avenir Book"/>
          <w:sz w:val="18"/>
          <w:szCs w:val="18"/>
          <w:lang w:val="en-US"/>
        </w:rPr>
      </w:pPr>
      <w:r>
        <w:rPr>
          <w:rFonts w:ascii="Avenir Heavy" w:hAnsi="Avenir Heavy"/>
          <w:sz w:val="18"/>
          <w:szCs w:val="18"/>
          <w:rtl w:val="0"/>
          <w:lang w:val="en-US"/>
        </w:rPr>
        <w:t>Relevance:</w:t>
      </w:r>
      <w:r>
        <w:rPr>
          <w:rFonts w:ascii="Avenir Book" w:hAnsi="Avenir Book"/>
          <w:sz w:val="18"/>
          <w:szCs w:val="18"/>
          <w:rtl w:val="0"/>
          <w:lang w:val="en-US"/>
        </w:rPr>
        <w:t xml:space="preserve"> How the project extends the aims and spirit of the Ecker Fellows Program </w:t>
      </w:r>
    </w:p>
    <w:p>
      <w:pPr>
        <w:pStyle w:val="List Paragraph"/>
        <w:numPr>
          <w:ilvl w:val="0"/>
          <w:numId w:val="5"/>
        </w:numPr>
        <w:spacing w:after="40" w:line="288" w:lineRule="auto"/>
        <w:rPr>
          <w:rFonts w:ascii="Avenir Heavy" w:hAnsi="Avenir Heavy"/>
          <w:sz w:val="18"/>
          <w:szCs w:val="18"/>
          <w:lang w:val="en-US"/>
        </w:rPr>
      </w:pPr>
      <w:r>
        <w:rPr>
          <w:rFonts w:ascii="Avenir Heavy" w:hAnsi="Avenir Heavy"/>
          <w:sz w:val="18"/>
          <w:szCs w:val="18"/>
          <w:rtl w:val="0"/>
          <w:lang w:val="en-US"/>
        </w:rPr>
        <w:t xml:space="preserve">Detailed Timeline, Work Plan, and Statement of Outcomes </w:t>
      </w:r>
    </w:p>
    <w:p>
      <w:pPr>
        <w:pStyle w:val="List Paragraph"/>
        <w:numPr>
          <w:ilvl w:val="0"/>
          <w:numId w:val="4"/>
        </w:numPr>
        <w:spacing w:after="40" w:line="288" w:lineRule="auto"/>
        <w:rPr>
          <w:rFonts w:ascii="Avenir Book" w:hAnsi="Avenir Book"/>
          <w:sz w:val="18"/>
          <w:szCs w:val="18"/>
          <w:lang w:val="en-US"/>
        </w:rPr>
      </w:pPr>
      <w:r>
        <w:rPr>
          <w:rFonts w:ascii="Avenir Heavy" w:hAnsi="Avenir Heavy"/>
          <w:sz w:val="18"/>
          <w:szCs w:val="18"/>
          <w:rtl w:val="0"/>
          <w:lang w:val="en-US"/>
        </w:rPr>
        <w:t>Budget and Justification</w:t>
      </w:r>
      <w:r>
        <w:rPr>
          <w:rFonts w:ascii="Avenir Book" w:hAnsi="Avenir Book"/>
          <w:sz w:val="18"/>
          <w:szCs w:val="18"/>
          <w:rtl w:val="0"/>
          <w:lang w:val="en-US"/>
        </w:rPr>
        <w:t xml:space="preserve"> </w:t>
      </w:r>
    </w:p>
    <w:p>
      <w:pPr>
        <w:pStyle w:val="List Paragraph"/>
        <w:numPr>
          <w:ilvl w:val="0"/>
          <w:numId w:val="4"/>
        </w:numPr>
        <w:spacing w:after="40" w:line="288" w:lineRule="auto"/>
        <w:rPr>
          <w:rFonts w:ascii="Avenir Book" w:hAnsi="Avenir Book"/>
          <w:sz w:val="18"/>
          <w:szCs w:val="18"/>
          <w:lang w:val="en-US"/>
        </w:rPr>
      </w:pPr>
      <w:r>
        <w:rPr>
          <w:rFonts w:ascii="Avenir Heavy" w:hAnsi="Avenir Heavy"/>
          <w:sz w:val="18"/>
          <w:szCs w:val="18"/>
          <w:rtl w:val="0"/>
          <w:lang w:val="en-US"/>
        </w:rPr>
        <w:t>References:</w:t>
      </w:r>
      <w:r>
        <w:rPr>
          <w:rFonts w:ascii="Avenir Book" w:hAnsi="Avenir Book"/>
          <w:sz w:val="18"/>
          <w:szCs w:val="18"/>
          <w:rtl w:val="0"/>
          <w:lang w:val="en-US"/>
        </w:rPr>
        <w:t xml:space="preserve"> Names and contact information for two professional or academic references who can speak to the applicant</w:t>
      </w:r>
      <w:r>
        <w:rPr>
          <w:rFonts w:ascii="Avenir Book" w:hAnsi="Avenir Book" w:hint="default"/>
          <w:sz w:val="18"/>
          <w:szCs w:val="18"/>
          <w:rtl w:val="0"/>
          <w:lang w:val="en-US"/>
        </w:rPr>
        <w:t>’</w:t>
      </w:r>
      <w:r>
        <w:rPr>
          <w:rFonts w:ascii="Avenir Book" w:hAnsi="Avenir Book"/>
          <w:sz w:val="18"/>
          <w:szCs w:val="18"/>
          <w:rtl w:val="0"/>
          <w:lang w:val="en-US"/>
        </w:rPr>
        <w:t>s qualifications or the project</w:t>
      </w:r>
      <w:r>
        <w:rPr>
          <w:rFonts w:ascii="Avenir Book" w:hAnsi="Avenir Book" w:hint="default"/>
          <w:sz w:val="18"/>
          <w:szCs w:val="18"/>
          <w:rtl w:val="0"/>
          <w:lang w:val="en-US"/>
        </w:rPr>
        <w:t>’</w:t>
      </w:r>
      <w:r>
        <w:rPr>
          <w:rFonts w:ascii="Avenir Book" w:hAnsi="Avenir Book"/>
          <w:sz w:val="18"/>
          <w:szCs w:val="18"/>
          <w:rtl w:val="0"/>
          <w:lang w:val="en-US"/>
        </w:rPr>
        <w:t>s feasibility</w:t>
      </w:r>
      <w:r>
        <w:rPr>
          <w:rFonts w:ascii="Avenir Book" w:hAnsi="Avenir Book"/>
          <w:sz w:val="18"/>
          <w:szCs w:val="18"/>
          <w:rtl w:val="0"/>
          <w:lang w:val="en-US"/>
        </w:rPr>
        <w:t>.</w:t>
      </w:r>
    </w:p>
    <w:p>
      <w:pPr>
        <w:pStyle w:val="List Paragraph"/>
        <w:spacing w:after="40"/>
        <w:ind w:left="0" w:firstLine="0"/>
        <w:rPr>
          <w:rFonts w:ascii="Avenir Book" w:cs="Avenir Book" w:hAnsi="Avenir Book" w:eastAsia="Avenir Book"/>
          <w:sz w:val="18"/>
          <w:szCs w:val="18"/>
        </w:rPr>
      </w:pPr>
    </w:p>
    <w:p>
      <w:pPr>
        <w:pStyle w:val="Heading 2"/>
        <w:bidi w:val="0"/>
      </w:pPr>
      <w:r>
        <w:rPr>
          <w:rtl w:val="0"/>
          <w:lang w:val="en-US"/>
        </w:rPr>
        <w:t xml:space="preserve">Submission and Review </w:t>
      </w:r>
    </w:p>
    <w:p>
      <w:pPr>
        <w:pStyle w:val="List Paragraph"/>
        <w:numPr>
          <w:ilvl w:val="0"/>
          <w:numId w:val="2"/>
        </w:numPr>
        <w:spacing w:after="40" w:line="288" w:lineRule="auto"/>
        <w:rPr>
          <w:rFonts w:ascii="Avenir Book" w:hAnsi="Avenir Book"/>
          <w:sz w:val="18"/>
          <w:szCs w:val="18"/>
          <w:lang w:val="en-US"/>
        </w:rPr>
      </w:pPr>
      <w:r>
        <w:rPr>
          <w:rFonts w:ascii="Avenir Book" w:hAnsi="Avenir Book"/>
          <w:sz w:val="18"/>
          <w:szCs w:val="18"/>
          <w:rtl w:val="0"/>
          <w:lang w:val="en-US"/>
        </w:rPr>
        <w:t xml:space="preserve">Deadline: [Insert date] </w:t>
      </w:r>
    </w:p>
    <w:p>
      <w:pPr>
        <w:pStyle w:val="List Paragraph"/>
        <w:numPr>
          <w:ilvl w:val="0"/>
          <w:numId w:val="2"/>
        </w:numPr>
        <w:spacing w:after="40" w:line="288" w:lineRule="auto"/>
        <w:rPr>
          <w:rFonts w:ascii="Avenir Book" w:hAnsi="Avenir Book"/>
          <w:sz w:val="18"/>
          <w:szCs w:val="18"/>
          <w:lang w:val="en-US"/>
        </w:rPr>
      </w:pPr>
      <w:r>
        <w:rPr>
          <w:rFonts w:ascii="Avenir Book" w:hAnsi="Avenir Book"/>
          <w:sz w:val="18"/>
          <w:szCs w:val="18"/>
          <w:rtl w:val="0"/>
          <w:lang w:val="en-US"/>
        </w:rPr>
        <w:t>Submission: nefpsychoanalysis@gmail.com</w:t>
      </w:r>
    </w:p>
    <w:p>
      <w:pPr>
        <w:pStyle w:val="List Paragraph"/>
        <w:numPr>
          <w:ilvl w:val="0"/>
          <w:numId w:val="2"/>
        </w:numPr>
        <w:spacing w:after="40" w:line="288" w:lineRule="auto"/>
        <w:rPr>
          <w:rFonts w:ascii="Avenir Book" w:hAnsi="Avenir Book"/>
          <w:sz w:val="18"/>
          <w:szCs w:val="18"/>
          <w:lang w:val="en-US"/>
        </w:rPr>
      </w:pPr>
      <w:r>
        <w:rPr>
          <w:rFonts w:ascii="Avenir Book" w:hAnsi="Avenir Book"/>
          <w:sz w:val="18"/>
          <w:szCs w:val="18"/>
          <w:rtl w:val="0"/>
          <w:lang w:val="en-US"/>
        </w:rPr>
        <w:t xml:space="preserve">Review Process: Proposals will be evaluated by the NEFP Board and invited reviewers appointed by the NEFP. </w:t>
      </w:r>
    </w:p>
    <w:p>
      <w:pPr>
        <w:pStyle w:val="List Paragraph"/>
        <w:numPr>
          <w:ilvl w:val="0"/>
          <w:numId w:val="2"/>
        </w:numPr>
        <w:spacing w:after="40" w:line="288" w:lineRule="auto"/>
        <w:rPr>
          <w:rFonts w:ascii="Avenir Book" w:hAnsi="Avenir Book"/>
          <w:sz w:val="18"/>
          <w:szCs w:val="18"/>
          <w:lang w:val="en-US"/>
        </w:rPr>
      </w:pPr>
      <w:r>
        <w:rPr>
          <w:rFonts w:ascii="Avenir Book" w:hAnsi="Avenir Book"/>
          <w:sz w:val="18"/>
          <w:szCs w:val="18"/>
          <w:rtl w:val="0"/>
          <w:lang w:val="en-US"/>
        </w:rPr>
        <w:t>Notification of Awards: [Insert date]</w:t>
      </w:r>
    </w:p>
    <w:p>
      <w:pPr>
        <w:pStyle w:val="List Paragraph"/>
        <w:spacing w:after="40"/>
        <w:ind w:left="0" w:firstLine="0"/>
        <w:rPr>
          <w:rFonts w:ascii="Avenir Book" w:cs="Avenir Book" w:hAnsi="Avenir Book" w:eastAsia="Avenir Book"/>
          <w:sz w:val="18"/>
          <w:szCs w:val="18"/>
        </w:rPr>
      </w:pPr>
    </w:p>
    <w:p>
      <w:pPr>
        <w:pStyle w:val="Heading 2"/>
        <w:bidi w:val="0"/>
      </w:pPr>
      <w:r>
        <w:rPr>
          <w:rtl w:val="0"/>
          <w:lang w:val="en-US"/>
        </w:rPr>
        <w:t xml:space="preserve">Reporting </w:t>
      </w:r>
    </w:p>
    <w:p>
      <w:pPr>
        <w:pStyle w:val="List Paragraph"/>
        <w:spacing w:after="40"/>
        <w:ind w:left="0" w:firstLine="0"/>
        <w:rPr>
          <w:rFonts w:ascii="Avenir Book" w:cs="Avenir Book" w:hAnsi="Avenir Book" w:eastAsia="Avenir Book"/>
          <w:sz w:val="18"/>
          <w:szCs w:val="18"/>
        </w:rPr>
      </w:pPr>
      <w:r>
        <w:rPr>
          <w:rFonts w:ascii="Avenir Book" w:hAnsi="Avenir Book"/>
          <w:sz w:val="18"/>
          <w:szCs w:val="18"/>
          <w:rtl w:val="0"/>
          <w:lang w:val="en-US"/>
        </w:rPr>
        <w:t>Grant recipients will submit a brief report within one year of receiving funds and may be invited to present their work at a BPSI seminar or Ecker Fellows event.</w:t>
      </w:r>
    </w:p>
    <w:p>
      <w:pPr>
        <w:pStyle w:val="List Paragraph"/>
        <w:spacing w:after="40"/>
        <w:ind w:left="0" w:firstLine="0"/>
        <w:rPr>
          <w:rFonts w:ascii="Avenir Book" w:cs="Avenir Book" w:hAnsi="Avenir Book" w:eastAsia="Avenir Book"/>
          <w:sz w:val="18"/>
          <w:szCs w:val="18"/>
        </w:rPr>
      </w:pPr>
    </w:p>
    <w:p>
      <w:pPr>
        <w:pStyle w:val="Heading 2"/>
        <w:bidi w:val="0"/>
      </w:pPr>
      <w:r>
        <w:rPr>
          <w:rtl w:val="0"/>
          <w:lang w:val="en-US"/>
        </w:rPr>
        <w:t xml:space="preserve">Contact </w:t>
      </w:r>
    </w:p>
    <w:p>
      <w:pPr>
        <w:pStyle w:val="List Paragraph"/>
        <w:spacing w:after="40"/>
        <w:ind w:left="0" w:firstLine="0"/>
      </w:pPr>
      <w:r>
        <w:rPr>
          <w:rFonts w:ascii="Avenir Book" w:hAnsi="Avenir Book"/>
          <w:sz w:val="18"/>
          <w:szCs w:val="18"/>
          <w:rtl w:val="0"/>
          <w:lang w:val="en-US"/>
        </w:rPr>
        <w:t>For questions regarding eligibility, proposal preparation, or submission,</w:t>
      </w:r>
      <w:r>
        <w:rPr>
          <w:rFonts w:ascii="Avenir Book" w:hAnsi="Avenir Book"/>
          <w:sz w:val="18"/>
          <w:szCs w:val="18"/>
          <w:rtl w:val="0"/>
          <w:lang w:val="en-US"/>
        </w:rPr>
        <w:t xml:space="preserve"> </w:t>
      </w:r>
      <w:r>
        <w:rPr>
          <w:rFonts w:ascii="Avenir Book" w:hAnsi="Avenir Book"/>
          <w:sz w:val="18"/>
          <w:szCs w:val="18"/>
          <w:rtl w:val="0"/>
          <w:lang w:val="en-US"/>
        </w:rPr>
        <w:t xml:space="preserve">please </w:t>
      </w:r>
      <w:r>
        <w:rPr>
          <w:rFonts w:ascii="Avenir Book" w:hAnsi="Avenir Book"/>
          <w:sz w:val="18"/>
          <w:szCs w:val="18"/>
          <w:rtl w:val="0"/>
          <w:lang w:val="en-US"/>
        </w:rPr>
        <w:t>email</w:t>
      </w:r>
      <w:r>
        <w:rPr>
          <w:rFonts w:ascii="Avenir Book" w:hAnsi="Avenir Book"/>
          <w:sz w:val="18"/>
          <w:szCs w:val="18"/>
          <w:rtl w:val="0"/>
          <w:lang w:val="en-US"/>
        </w:rPr>
        <w:t xml:space="preserve">: </w:t>
      </w:r>
      <w:r>
        <w:rPr>
          <w:rFonts w:ascii="Avenir Heavy" w:hAnsi="Avenir Heavy"/>
          <w:sz w:val="18"/>
          <w:szCs w:val="18"/>
          <w:rtl w:val="0"/>
          <w:lang w:val="en-US"/>
        </w:rPr>
        <w:t>nefpsychoanalysis@gmail.com</w:t>
      </w:r>
      <w:r>
        <w:rPr>
          <w:rFonts w:ascii="Avenir Book" w:cs="Avenir Book" w:hAnsi="Avenir Book" w:eastAsia="Avenir Book"/>
          <w:sz w:val="18"/>
          <w:szCs w:val="18"/>
        </w:rPr>
      </w:r>
    </w:p>
    <w:sectPr>
      <w:headerReference w:type="default" r:id="rId4"/>
      <w:footerReference w:type="default" r:id="rId5"/>
      <w:pgSz w:w="12240" w:h="15840" w:orient="portrait"/>
      <w:pgMar w:top="180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roxima Nova">
    <w:charset w:val="00"/>
    <w:family w:val="roman"/>
    <w:pitch w:val="default"/>
  </w:font>
  <w:font w:name="Avenir Heavy">
    <w:charset w:val="00"/>
    <w:family w:val="roman"/>
    <w:pitch w:val="default"/>
  </w:font>
  <w:font w:name="Avenir Book">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spacing w:after="120"/>
      <w:jc w:val="center"/>
      <w:rPr>
        <w:rFonts w:ascii="Avenir Heavy" w:hAnsi="Avenir Heavy"/>
        <w:sz w:val="18"/>
        <w:szCs w:val="18"/>
      </w:rPr>
    </w:pPr>
    <w:r>
      <w:rPr>
        <w:rFonts w:ascii="Avenir Heavy" w:hAnsi="Avenir Heavy"/>
        <w:sz w:val="18"/>
        <w:szCs w:val="18"/>
      </w:rPr>
      <mc:AlternateContent>
        <mc:Choice Requires="wps">
          <w:drawing xmlns:a="http://schemas.openxmlformats.org/drawingml/2006/main">
            <wp:inline distT="0" distB="0" distL="0" distR="0">
              <wp:extent cx="5943600" cy="0"/>
              <wp:effectExtent l="0" t="0" r="0" b="0"/>
              <wp:docPr id="1073741826" name="officeArt object" descr="Line"/>
              <wp:cNvGraphicFramePr/>
              <a:graphic xmlns:a="http://schemas.openxmlformats.org/drawingml/2006/main">
                <a:graphicData uri="http://schemas.microsoft.com/office/word/2010/wordprocessingShape">
                  <wps:wsp>
                    <wps:cNvSpPr/>
                    <wps:spPr>
                      <a:xfrm>
                        <a:off x="0" y="0"/>
                        <a:ext cx="5943600" cy="0"/>
                      </a:xfrm>
                      <a:prstGeom prst="line">
                        <a:avLst/>
                      </a:prstGeom>
                      <a:noFill/>
                      <a:ln w="6350" cap="flat">
                        <a:solidFill>
                          <a:srgbClr val="333333">
                            <a:alpha val="24921"/>
                          </a:srgbClr>
                        </a:solidFill>
                        <a:prstDash val="solid"/>
                        <a:miter lim="800000"/>
                      </a:ln>
                      <a:effectLst/>
                    </wps:spPr>
                    <wps:bodyPr/>
                  </wps:wsp>
                </a:graphicData>
              </a:graphic>
            </wp:inline>
          </w:drawing>
        </mc:Choice>
        <mc:Fallback>
          <w:pict>
            <v:line id="_x0000_s1026" style="visibility:visible;width:468.0pt;height:0.0pt;">
              <v:fill on="f"/>
              <v:stroke filltype="solid" color="#333333" opacity="24.9%" weight="0.5pt" dashstyle="solid" endcap="flat" miterlimit="800.0%" joinstyle="miter" linestyle="single" startarrow="none" startarrowwidth="medium" startarrowlength="medium" endarrow="none" endarrowwidth="medium" endarrowlength="medium"/>
            </v:line>
          </w:pict>
        </mc:Fallback>
      </mc:AlternateContent>
    </w:r>
  </w:p>
  <w:p>
    <w:pPr>
      <w:pStyle w:val="Header &amp; Footer"/>
      <w:spacing w:after="120"/>
      <w:jc w:val="center"/>
      <w:rPr>
        <w:rFonts w:ascii="Avenir Heavy" w:cs="Avenir Heavy" w:hAnsi="Avenir Heavy" w:eastAsia="Avenir Heavy"/>
        <w:sz w:val="18"/>
        <w:szCs w:val="18"/>
      </w:rPr>
    </w:pPr>
    <w:r>
      <w:rPr>
        <w:rFonts w:ascii="Avenir Heavy" w:hAnsi="Avenir Heavy"/>
        <w:sz w:val="18"/>
        <w:szCs w:val="18"/>
        <w:rtl w:val="0"/>
        <w:lang w:val="en-US"/>
      </w:rPr>
      <w:t>www.nefp.us</w:t>
    </w:r>
  </w:p>
  <w:p>
    <w:pPr>
      <w:pStyle w:val="Default"/>
      <w:suppressAutoHyphens w:val="1"/>
      <w:spacing w:before="0" w:after="120" w:line="240" w:lineRule="auto"/>
      <w:jc w:val="center"/>
    </w:pPr>
    <w:r>
      <w:rPr>
        <w:rFonts w:ascii="Avenir Book" w:hAnsi="Avenir Book"/>
        <w:sz w:val="16"/>
        <w:szCs w:val="16"/>
        <w:rtl w:val="0"/>
        <w:lang w:val="en-US"/>
      </w:rPr>
      <w:t>New England Foundation for Psychoanalysis is a 501(c)(3) public charity</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drawing xmlns:a="http://schemas.openxmlformats.org/drawingml/2006/main">
        <wp:inline distT="0" distB="0" distL="0" distR="0">
          <wp:extent cx="1372080" cy="541972"/>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1">
                    <a:extLst/>
                  </a:blip>
                  <a:stretch>
                    <a:fillRect/>
                  </a:stretch>
                </pic:blipFill>
                <pic:spPr>
                  <a:xfrm>
                    <a:off x="0" y="0"/>
                    <a:ext cx="1372080" cy="541972"/>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7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3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ind w:left="1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9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7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3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1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9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7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5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roxima Nova" w:cs="Arial Unicode MS" w:hAnsi="Proxima Nova"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Proxima Nova" w:cs="Arial Unicode MS" w:hAnsi="Proxima Nova"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venir Book" w:cs="Avenir Book" w:hAnsi="Avenir Book" w:eastAsia="Avenir Book"/>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Proxima Nova" w:cs="Arial Unicode MS" w:hAnsi="Proxima Nova" w:eastAsia="Arial Unicode MS"/>
      <w:b w:val="1"/>
      <w:bCs w:val="1"/>
      <w:i w:val="0"/>
      <w:iCs w:val="0"/>
      <w:caps w:val="0"/>
      <w:smallCaps w:val="0"/>
      <w:strike w:val="0"/>
      <w:dstrike w:val="0"/>
      <w:outline w:val="0"/>
      <w:color w:val="000000"/>
      <w:spacing w:val="0"/>
      <w:kern w:val="0"/>
      <w:position w:val="0"/>
      <w:sz w:val="40"/>
      <w:szCs w:val="40"/>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80" w:line="240" w:lineRule="auto"/>
      <w:ind w:left="0" w:right="0" w:firstLine="0"/>
      <w:jc w:val="left"/>
      <w:outlineLvl w:val="1"/>
    </w:pPr>
    <w:rPr>
      <w:rFonts w:ascii="Avenir Heavy" w:cs="Arial Unicode MS" w:hAnsi="Avenir Heavy"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nl-NL"/>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Bullets">
    <w:name w:val="Bullets"/>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Proxima Nova"/>
        <a:ea typeface="Proxima Nova"/>
        <a:cs typeface="Proxima Nova"/>
      </a:majorFont>
      <a:minorFont>
        <a:latin typeface="Proxima Nova"/>
        <a:ea typeface="Proxima Nova"/>
        <a:cs typeface="Proxima Nov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